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C5F50" w14:textId="21606356" w:rsidR="007B5838" w:rsidRDefault="007B2D1D">
      <w:pPr>
        <w:spacing w:line="288" w:lineRule="auto"/>
        <w:jc w:val="both"/>
        <w:rPr>
          <w:rFonts w:ascii="Playfair Display" w:hAnsi="Playfair Display"/>
          <w:b/>
          <w:bCs/>
          <w:sz w:val="36"/>
          <w:szCs w:val="36"/>
        </w:rPr>
      </w:pPr>
      <w:r>
        <w:rPr>
          <w:rFonts w:ascii="Playfair Display" w:hAnsi="Playfair Display"/>
          <w:b/>
          <w:bCs/>
          <w:sz w:val="36"/>
          <w:szCs w:val="36"/>
        </w:rPr>
        <w:t>Pressemitteilung</w:t>
      </w:r>
    </w:p>
    <w:p w14:paraId="3032BE71" w14:textId="77777777" w:rsidR="000F096B" w:rsidRDefault="000F096B">
      <w:pPr>
        <w:spacing w:line="288" w:lineRule="auto"/>
        <w:jc w:val="both"/>
        <w:rPr>
          <w:rFonts w:ascii="Playfair Display" w:hAnsi="Playfair Display"/>
          <w:b/>
          <w:bCs/>
          <w:sz w:val="28"/>
          <w:szCs w:val="28"/>
        </w:rPr>
      </w:pPr>
    </w:p>
    <w:p w14:paraId="0AA15205" w14:textId="77777777" w:rsidR="007B2D1D" w:rsidRPr="007B2D1D" w:rsidRDefault="007B2D1D" w:rsidP="007B2D1D">
      <w:pPr>
        <w:spacing w:before="120" w:after="120" w:line="288" w:lineRule="auto"/>
        <w:jc w:val="both"/>
        <w:rPr>
          <w:rFonts w:ascii="Playfair Display" w:hAnsi="Playfair Display"/>
          <w:b/>
          <w:bCs/>
          <w:sz w:val="28"/>
          <w:szCs w:val="28"/>
        </w:rPr>
      </w:pPr>
      <w:r w:rsidRPr="007B2D1D">
        <w:rPr>
          <w:rFonts w:ascii="Playfair Display" w:hAnsi="Playfair Display"/>
          <w:b/>
          <w:bCs/>
          <w:sz w:val="28"/>
          <w:szCs w:val="28"/>
        </w:rPr>
        <w:t xml:space="preserve">Bürgschaftsbank Baden-Württemberg: </w:t>
      </w:r>
    </w:p>
    <w:p w14:paraId="6A9EC3A8" w14:textId="77777777" w:rsidR="007B2D1D" w:rsidRDefault="007B2D1D" w:rsidP="007B2D1D">
      <w:pPr>
        <w:spacing w:before="120" w:after="120" w:line="288" w:lineRule="auto"/>
        <w:jc w:val="both"/>
        <w:rPr>
          <w:rFonts w:ascii="Playfair Display" w:hAnsi="Playfair Display"/>
          <w:b/>
          <w:bCs/>
          <w:sz w:val="28"/>
          <w:szCs w:val="28"/>
        </w:rPr>
      </w:pPr>
      <w:r w:rsidRPr="007B2D1D">
        <w:rPr>
          <w:rFonts w:ascii="Playfair Display" w:hAnsi="Playfair Display"/>
          <w:b/>
          <w:bCs/>
          <w:sz w:val="28"/>
          <w:szCs w:val="28"/>
        </w:rPr>
        <w:t>Gründungen und Nachfolgen weiter auf dem Vormarsch</w:t>
      </w:r>
    </w:p>
    <w:p w14:paraId="3D887F4E" w14:textId="77777777" w:rsidR="007B2D1D" w:rsidRPr="007B2D1D" w:rsidRDefault="007B2D1D" w:rsidP="007B2D1D">
      <w:pPr>
        <w:jc w:val="both"/>
        <w:rPr>
          <w:rFonts w:ascii="Lato" w:hAnsi="Lato" w:cstheme="minorHAnsi"/>
          <w:b/>
          <w:bCs/>
          <w:sz w:val="22"/>
          <w:szCs w:val="22"/>
        </w:rPr>
      </w:pPr>
      <w:r w:rsidRPr="007B2D1D">
        <w:rPr>
          <w:rFonts w:ascii="Lato" w:hAnsi="Lato" w:cstheme="minorHAnsi"/>
          <w:b/>
          <w:bCs/>
          <w:sz w:val="22"/>
          <w:szCs w:val="22"/>
        </w:rPr>
        <w:t>Nach längerer Talfahrt hat sich die konjunkturelle Stimmungslage in Baden-Württemberg zum Ende des ersten Halbjahrs 2025 etwas verbessert – wenn auch auf weiterhin niedrigem Niveau. Das Bürgschaftsinstrument wurde wieder stärker nachgefragt im Vergleich zum Vorjahr – insbesondere bei Gründungen und Nachfolgen.</w:t>
      </w:r>
    </w:p>
    <w:p w14:paraId="1A0F1BF1" w14:textId="77777777" w:rsidR="007B2D1D" w:rsidRPr="007B2D1D" w:rsidRDefault="007B2D1D" w:rsidP="007B2D1D">
      <w:pPr>
        <w:jc w:val="both"/>
        <w:rPr>
          <w:rFonts w:ascii="Lato" w:hAnsi="Lato" w:cstheme="minorHAnsi"/>
          <w:b/>
          <w:bCs/>
          <w:sz w:val="22"/>
          <w:szCs w:val="22"/>
        </w:rPr>
      </w:pPr>
    </w:p>
    <w:p w14:paraId="511DF0B3" w14:textId="50D92679" w:rsidR="007B2D1D" w:rsidRPr="007B2D1D" w:rsidRDefault="00CE70C1" w:rsidP="007B2D1D">
      <w:pPr>
        <w:jc w:val="both"/>
        <w:rPr>
          <w:rFonts w:ascii="Lato" w:hAnsi="Lato"/>
          <w:color w:val="000000"/>
          <w:sz w:val="22"/>
          <w:szCs w:val="22"/>
        </w:rPr>
      </w:pPr>
      <w:r w:rsidRPr="007B2D1D">
        <w:rPr>
          <w:rFonts w:ascii="Lato" w:hAnsi="Lato" w:cstheme="minorHAnsi"/>
          <w:b/>
          <w:sz w:val="22"/>
          <w:szCs w:val="22"/>
        </w:rPr>
        <w:t xml:space="preserve">Stuttgart, </w:t>
      </w:r>
      <w:r w:rsidR="007B2D1D" w:rsidRPr="007B2D1D">
        <w:rPr>
          <w:rFonts w:ascii="Lato" w:hAnsi="Lato" w:cstheme="minorHAnsi"/>
          <w:b/>
          <w:sz w:val="22"/>
          <w:szCs w:val="22"/>
        </w:rPr>
        <w:t>2</w:t>
      </w:r>
      <w:r w:rsidR="00B207E1">
        <w:rPr>
          <w:rFonts w:ascii="Lato" w:hAnsi="Lato" w:cstheme="minorHAnsi"/>
          <w:b/>
          <w:sz w:val="22"/>
          <w:szCs w:val="22"/>
        </w:rPr>
        <w:t>4</w:t>
      </w:r>
      <w:r w:rsidR="007B2D1D" w:rsidRPr="007B2D1D">
        <w:rPr>
          <w:rFonts w:ascii="Lato" w:hAnsi="Lato" w:cstheme="minorHAnsi"/>
          <w:b/>
          <w:sz w:val="22"/>
          <w:szCs w:val="22"/>
        </w:rPr>
        <w:t>. Juli 2025</w:t>
      </w:r>
      <w:r w:rsidRPr="007B2D1D">
        <w:rPr>
          <w:rFonts w:ascii="Lato" w:hAnsi="Lato" w:cstheme="minorHAnsi"/>
          <w:bCs/>
          <w:sz w:val="22"/>
          <w:szCs w:val="22"/>
        </w:rPr>
        <w:t xml:space="preserve">. </w:t>
      </w:r>
      <w:r w:rsidR="007B2D1D" w:rsidRPr="007B2D1D">
        <w:rPr>
          <w:rFonts w:ascii="Lato" w:hAnsi="Lato"/>
          <w:color w:val="000000"/>
          <w:sz w:val="22"/>
          <w:szCs w:val="22"/>
        </w:rPr>
        <w:t>In den ersten sechs Monaten 2025 hat die Bürgschaftsbank Baden-Württemberg über 1.100 Vorhaben mit einem Volumen von über 322 Mio. Euro genehmigt. Das ist ein Plus von 14,6 Prozent gegenüber dem Vorjahr. Besonders nachgefragt waren die Bürgschaften bei Existenzgründungen. Circa 400 Gründungen mit einem Volumen von knapp 50 Mio. Euro sowie fast 300 Übernahmen mit einem Volumen von über 100 Mio. Euro hat die Bürgschaftsbank Baden-Württemberg begleitet.</w:t>
      </w:r>
    </w:p>
    <w:p w14:paraId="04A7DFF1" w14:textId="77777777" w:rsidR="007B2D1D" w:rsidRPr="007B2D1D" w:rsidRDefault="007B2D1D" w:rsidP="007B2D1D">
      <w:pPr>
        <w:jc w:val="both"/>
        <w:rPr>
          <w:rFonts w:ascii="Lato" w:hAnsi="Lato"/>
          <w:color w:val="000000"/>
          <w:sz w:val="22"/>
          <w:szCs w:val="22"/>
        </w:rPr>
      </w:pPr>
    </w:p>
    <w:p w14:paraId="3746DD05" w14:textId="1A338465" w:rsidR="007B2D1D" w:rsidRPr="007B2D1D" w:rsidRDefault="007B2D1D" w:rsidP="007B2D1D">
      <w:pPr>
        <w:jc w:val="both"/>
        <w:rPr>
          <w:rFonts w:ascii="Lato" w:hAnsi="Lato"/>
          <w:color w:val="000000"/>
          <w:sz w:val="22"/>
          <w:szCs w:val="22"/>
        </w:rPr>
      </w:pPr>
      <w:r w:rsidRPr="007B2D1D">
        <w:rPr>
          <w:rFonts w:ascii="Lato" w:hAnsi="Lato"/>
          <w:color w:val="000000"/>
          <w:sz w:val="22"/>
          <w:szCs w:val="22"/>
        </w:rPr>
        <w:t>Bürgschaftsbank-Vorstand Guy Selbherr betont: „Der Mittelstand ist das Rückgrat unserer Wirtschaft. Wir leisten einen wichtigen Beitrag, die zahlreichen kleinen und mittleren Unternehmen in unserem Land zu stärken und den Kreditzugang zu erleichtern. Es ist ein erfreuliches Signal, dass die Zuversicht in die gesamtwirtschaftlichen Rahmenbedingungen wieder zunimmt, denn bei Gründer/innen und Nacholger/innen ist die Bereitschaft gestiegen in die Zukunft zu investieren.</w:t>
      </w:r>
      <w:r w:rsidR="00743A0D">
        <w:rPr>
          <w:rFonts w:ascii="Lato" w:hAnsi="Lato"/>
          <w:color w:val="000000"/>
          <w:sz w:val="22"/>
          <w:szCs w:val="22"/>
        </w:rPr>
        <w:t>“</w:t>
      </w:r>
    </w:p>
    <w:p w14:paraId="3499D2B2" w14:textId="77777777" w:rsidR="007B2D1D" w:rsidRPr="007B2D1D" w:rsidRDefault="007B2D1D" w:rsidP="007B2D1D">
      <w:pPr>
        <w:jc w:val="both"/>
        <w:rPr>
          <w:rFonts w:ascii="Lato" w:hAnsi="Lato"/>
          <w:color w:val="000000"/>
          <w:sz w:val="22"/>
          <w:szCs w:val="22"/>
        </w:rPr>
      </w:pPr>
    </w:p>
    <w:p w14:paraId="0C34D441" w14:textId="56D8E830" w:rsidR="007B2D1D" w:rsidRPr="007B2D1D" w:rsidRDefault="007B2D1D" w:rsidP="007B2D1D">
      <w:pPr>
        <w:jc w:val="both"/>
        <w:rPr>
          <w:rFonts w:ascii="Lato" w:hAnsi="Lato"/>
          <w:color w:val="000000"/>
          <w:sz w:val="22"/>
          <w:szCs w:val="22"/>
        </w:rPr>
      </w:pPr>
      <w:r w:rsidRPr="007B2D1D">
        <w:rPr>
          <w:rFonts w:ascii="Lato" w:hAnsi="Lato"/>
          <w:color w:val="000000"/>
          <w:sz w:val="22"/>
          <w:szCs w:val="22"/>
        </w:rPr>
        <w:t>Mit passgenauen Programmen, gepaart mit ausgeprägter Kompetenz aus der Begleitung von mehreren Tausend Gründungs- und Nachfolgevorhaben sowie dem wertvollen Netzwerk aus Kammern und Verbänden sind Bürgschaften ein außerordentlich wichtiges Instrument</w:t>
      </w:r>
      <w:r w:rsidR="00743A0D">
        <w:rPr>
          <w:rFonts w:ascii="Lato" w:hAnsi="Lato"/>
          <w:color w:val="000000"/>
          <w:sz w:val="22"/>
          <w:szCs w:val="22"/>
        </w:rPr>
        <w:t>,</w:t>
      </w:r>
      <w:r w:rsidRPr="007B2D1D">
        <w:rPr>
          <w:rFonts w:ascii="Lato" w:hAnsi="Lato"/>
          <w:color w:val="000000"/>
          <w:sz w:val="22"/>
          <w:szCs w:val="22"/>
        </w:rPr>
        <w:t xml:space="preserve"> um den Zugang zu</w:t>
      </w:r>
      <w:r w:rsidR="00743A0D">
        <w:rPr>
          <w:rFonts w:ascii="Lato" w:hAnsi="Lato"/>
          <w:color w:val="000000"/>
          <w:sz w:val="22"/>
          <w:szCs w:val="22"/>
        </w:rPr>
        <w:t>r</w:t>
      </w:r>
      <w:r w:rsidRPr="007B2D1D">
        <w:rPr>
          <w:rFonts w:ascii="Lato" w:hAnsi="Lato"/>
          <w:color w:val="000000"/>
          <w:sz w:val="22"/>
          <w:szCs w:val="22"/>
        </w:rPr>
        <w:t xml:space="preserve"> Finanzierung zu erleichtern. Über das digitale Ermöglicher-Portal können Kreditsuchende auch direkt einen Antrag stellen. </w:t>
      </w:r>
    </w:p>
    <w:p w14:paraId="61BF7011" w14:textId="77777777" w:rsidR="007B2D1D" w:rsidRPr="007B2D1D" w:rsidRDefault="007B2D1D" w:rsidP="007B2D1D">
      <w:pPr>
        <w:jc w:val="both"/>
        <w:rPr>
          <w:rFonts w:ascii="Lato" w:hAnsi="Lato"/>
          <w:color w:val="000000"/>
          <w:sz w:val="22"/>
          <w:szCs w:val="22"/>
        </w:rPr>
      </w:pPr>
    </w:p>
    <w:p w14:paraId="083B2DB2" w14:textId="77777777" w:rsidR="007B2D1D" w:rsidRPr="007B2D1D" w:rsidRDefault="007B2D1D" w:rsidP="007B2D1D">
      <w:pPr>
        <w:tabs>
          <w:tab w:val="left" w:pos="3270"/>
        </w:tabs>
        <w:jc w:val="both"/>
        <w:rPr>
          <w:rFonts w:ascii="Lato" w:hAnsi="Lato" w:cs="Segoe UI Emoji"/>
          <w:sz w:val="22"/>
          <w:szCs w:val="22"/>
        </w:rPr>
      </w:pPr>
      <w:r w:rsidRPr="007B2D1D">
        <w:rPr>
          <w:rFonts w:ascii="Lato" w:hAnsi="Lato"/>
          <w:sz w:val="22"/>
          <w:szCs w:val="22"/>
        </w:rPr>
        <w:t xml:space="preserve">Ein Beispiel für eine gelungene Übernahme ist das Hotel Koch in Bad Liebenzell. Nicht immer war klar, ob einer der Brüder das traditionsreiche Hotel übernehmen würde. Heute führen alle drei – Patrick, Christopher und Raphael Koch – mit Herzblut und Unternehmergeist zwei Hotels: das Hotel Koch in fünfter Generation und das OSCARS Hotel 1415. </w:t>
      </w:r>
    </w:p>
    <w:p w14:paraId="6154C042" w14:textId="77777777" w:rsidR="007B2D1D" w:rsidRPr="007B2D1D" w:rsidRDefault="007B2D1D" w:rsidP="007B2D1D">
      <w:pPr>
        <w:tabs>
          <w:tab w:val="left" w:pos="3270"/>
        </w:tabs>
        <w:jc w:val="both"/>
        <w:rPr>
          <w:rFonts w:ascii="Lato" w:hAnsi="Lato"/>
          <w:sz w:val="22"/>
          <w:szCs w:val="22"/>
        </w:rPr>
      </w:pPr>
    </w:p>
    <w:p w14:paraId="0B607F78" w14:textId="77777777" w:rsidR="007B2D1D" w:rsidRPr="007B2D1D" w:rsidRDefault="007B2D1D" w:rsidP="007B2D1D">
      <w:pPr>
        <w:tabs>
          <w:tab w:val="left" w:pos="3270"/>
        </w:tabs>
        <w:jc w:val="both"/>
        <w:rPr>
          <w:rFonts w:ascii="Lato" w:hAnsi="Lato" w:cs="Segoe UI Emoji"/>
          <w:sz w:val="22"/>
          <w:szCs w:val="22"/>
        </w:rPr>
      </w:pPr>
      <w:r w:rsidRPr="007B2D1D">
        <w:rPr>
          <w:rFonts w:ascii="Lato" w:hAnsi="Lato"/>
          <w:sz w:val="22"/>
          <w:szCs w:val="22"/>
        </w:rPr>
        <w:t xml:space="preserve">Das Hotel Koch ist das familiäre Herzstück, eine traditionsreiche Drei-Sterne-Frühstückspension. Nur wenige Gehminuten entfernt, im Kurpark von Bad Liebenzell, liegt das zweite Haus: das OSCARS 1415. In dem historischen Fachwerkhaus mit über 600 Jahren Geschichte verbinden die Gastgeber den Charme vergangener Zeiten mit frischen Ideen. Das OX 1415, ein Pop-up-Restaurant mit wechselnden kulinarischen </w:t>
      </w:r>
      <w:r w:rsidRPr="007B2D1D">
        <w:rPr>
          <w:rFonts w:ascii="Lato" w:hAnsi="Lato"/>
          <w:sz w:val="22"/>
          <w:szCs w:val="22"/>
        </w:rPr>
        <w:lastRenderedPageBreak/>
        <w:t xml:space="preserve">Konzepten, ein Tages- und Frühstücksrestaurant, ein Biergarten sowie Veranstaltungsräume ergänzen das Angebot. </w:t>
      </w:r>
    </w:p>
    <w:p w14:paraId="1006C9C1" w14:textId="77777777" w:rsidR="007B2D1D" w:rsidRPr="007B2D1D" w:rsidRDefault="007B2D1D" w:rsidP="007B2D1D">
      <w:pPr>
        <w:tabs>
          <w:tab w:val="left" w:pos="3270"/>
        </w:tabs>
        <w:jc w:val="both"/>
        <w:rPr>
          <w:rFonts w:ascii="Lato" w:hAnsi="Lato"/>
          <w:sz w:val="22"/>
          <w:szCs w:val="22"/>
        </w:rPr>
      </w:pPr>
    </w:p>
    <w:p w14:paraId="6F76BC90" w14:textId="77777777" w:rsidR="007B2D1D" w:rsidRPr="007B2D1D" w:rsidRDefault="007B2D1D" w:rsidP="007B2D1D">
      <w:pPr>
        <w:tabs>
          <w:tab w:val="left" w:pos="3270"/>
        </w:tabs>
        <w:jc w:val="both"/>
        <w:rPr>
          <w:rFonts w:ascii="Lato" w:hAnsi="Lato"/>
          <w:sz w:val="22"/>
          <w:szCs w:val="22"/>
        </w:rPr>
      </w:pPr>
      <w:r w:rsidRPr="007B2D1D">
        <w:rPr>
          <w:rFonts w:ascii="Lato" w:hAnsi="Lato"/>
          <w:sz w:val="22"/>
          <w:szCs w:val="22"/>
        </w:rPr>
        <w:t xml:space="preserve">Was beide Hotels verbindet, ist der Anspruch, Gastfreundschaft nicht nur zu bieten, sondern zu leben. </w:t>
      </w:r>
    </w:p>
    <w:p w14:paraId="392CDD25" w14:textId="77777777" w:rsidR="007B2D1D" w:rsidRPr="007B2D1D" w:rsidRDefault="007B2D1D" w:rsidP="007B2D1D">
      <w:pPr>
        <w:jc w:val="both"/>
        <w:rPr>
          <w:rFonts w:ascii="Lato" w:hAnsi="Lato"/>
          <w:sz w:val="22"/>
          <w:szCs w:val="22"/>
        </w:rPr>
      </w:pPr>
    </w:p>
    <w:p w14:paraId="76E81632" w14:textId="092C9F99" w:rsidR="00FB32AF" w:rsidRDefault="00FB32AF" w:rsidP="007B2D1D">
      <w:pPr>
        <w:spacing w:before="120" w:after="120" w:line="288" w:lineRule="auto"/>
        <w:jc w:val="both"/>
        <w:rPr>
          <w:rFonts w:ascii="Lato" w:hAnsi="Lato" w:cstheme="minorHAnsi"/>
          <w:bCs/>
          <w:sz w:val="22"/>
          <w:szCs w:val="22"/>
        </w:rPr>
      </w:pPr>
    </w:p>
    <w:p w14:paraId="03B260FE" w14:textId="77777777" w:rsidR="00743A0D" w:rsidRDefault="00743A0D" w:rsidP="00743A0D">
      <w:pPr>
        <w:pBdr>
          <w:top w:val="single" w:sz="4" w:space="1" w:color="999999"/>
          <w:left w:val="single" w:sz="4" w:space="3" w:color="999999"/>
          <w:bottom w:val="single" w:sz="4" w:space="1" w:color="999999"/>
          <w:right w:val="single" w:sz="4" w:space="5" w:color="999999"/>
        </w:pBdr>
        <w:spacing w:before="120" w:after="120" w:line="288" w:lineRule="auto"/>
        <w:ind w:left="142"/>
        <w:jc w:val="both"/>
        <w:rPr>
          <w:rFonts w:ascii="Lato" w:hAnsi="Lato" w:cstheme="minorHAnsi"/>
          <w:iCs/>
          <w:sz w:val="18"/>
          <w:szCs w:val="18"/>
        </w:rPr>
      </w:pPr>
      <w:r>
        <w:rPr>
          <w:rFonts w:ascii="Lato" w:hAnsi="Lato" w:cstheme="minorHAnsi"/>
          <w:iCs/>
          <w:sz w:val="18"/>
          <w:szCs w:val="18"/>
        </w:rPr>
        <w:t xml:space="preserve">Die Bürgschaftsbank wurde von der Wirtschaft für die Wirtschaft gegründet. Ihre Gesellschafter sind Kammern, Verbände sowie Spitzeninstitute der Kreditwirtschaft. Ihre Bürgschaften für Haus- und Förderbankkredite ermöglichen kleinen und mittleren Unternehmen im Land Finanzierungen, wenn Sicherheiten fehlen. Insgesamt bestehen 14.732 Bürgschaften an baden-württembergischen Unternehmen mit einem Kredit- und Beteiligungsvolumen von über 3 Milliarden Euro. Im Bundesvergleich ist die Bürgschaftsbank Baden-Württemberg mit über einem Drittel der bundesweit verbürgten Kredite und garantierten Beteiligungen das größte Institut dieser Art. </w:t>
      </w:r>
      <w:hyperlink r:id="rId8" w:history="1">
        <w:r>
          <w:rPr>
            <w:rStyle w:val="Hyperlink"/>
            <w:rFonts w:ascii="Lato" w:hAnsi="Lato" w:cstheme="minorHAnsi"/>
            <w:iCs/>
            <w:sz w:val="18"/>
            <w:szCs w:val="18"/>
          </w:rPr>
          <w:t>www.buergschaftsbank.de</w:t>
        </w:r>
      </w:hyperlink>
      <w:r>
        <w:rPr>
          <w:rFonts w:ascii="Lato" w:hAnsi="Lato" w:cstheme="minorHAnsi"/>
          <w:iCs/>
          <w:sz w:val="18"/>
          <w:szCs w:val="18"/>
        </w:rPr>
        <w:t xml:space="preserve"> </w:t>
      </w:r>
    </w:p>
    <w:sectPr w:rsidR="00743A0D">
      <w:headerReference w:type="default" r:id="rId9"/>
      <w:footerReference w:type="even" r:id="rId10"/>
      <w:footerReference w:type="default" r:id="rId11"/>
      <w:pgSz w:w="11906" w:h="16838" w:code="9"/>
      <w:pgMar w:top="-2835" w:right="2550" w:bottom="1701" w:left="1134" w:header="1247" w:footer="37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CE38F" w14:textId="77777777" w:rsidR="005E5FBE" w:rsidRDefault="005E5FBE">
      <w:r>
        <w:separator/>
      </w:r>
    </w:p>
  </w:endnote>
  <w:endnote w:type="continuationSeparator" w:id="0">
    <w:p w14:paraId="65F69128" w14:textId="77777777" w:rsidR="005E5FBE" w:rsidRDefault="005E5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layfair Display">
    <w:panose1 w:val="00000000000000000000"/>
    <w:charset w:val="00"/>
    <w:family w:val="auto"/>
    <w:pitch w:val="variable"/>
    <w:sig w:usb0="A00002FF" w:usb1="4000207A" w:usb2="00000000" w:usb3="00000000" w:csb0="00000097" w:csb1="00000000"/>
  </w:font>
  <w:font w:name="Lato">
    <w:panose1 w:val="020F0502020204030203"/>
    <w:charset w:val="00"/>
    <w:family w:val="swiss"/>
    <w:pitch w:val="variable"/>
    <w:sig w:usb0="800000AF" w:usb1="4000604A" w:usb2="00000000" w:usb3="00000000" w:csb0="00000093"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2D82E" w14:textId="77777777" w:rsidR="000F096B" w:rsidRDefault="00CE70C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59BC4EE7" w14:textId="77777777" w:rsidR="000F096B" w:rsidRDefault="000F096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8E90C" w14:textId="77777777" w:rsidR="000F096B" w:rsidRDefault="00CE70C1">
    <w:pPr>
      <w:pStyle w:val="Fuzeile"/>
      <w:rPr>
        <w:rStyle w:val="Seitenzahl"/>
        <w:rFonts w:ascii="Lato" w:hAnsi="Lato" w:cs="Arial"/>
        <w:b/>
        <w:sz w:val="16"/>
        <w:szCs w:val="16"/>
      </w:rPr>
    </w:pPr>
    <w:r>
      <w:rPr>
        <w:rStyle w:val="Seitenzahl"/>
        <w:rFonts w:ascii="Lato" w:hAnsi="Lato" w:cs="Arial"/>
        <w:b/>
        <w:sz w:val="16"/>
        <w:szCs w:val="16"/>
      </w:rPr>
      <w:t>Pressekontakt:</w:t>
    </w:r>
    <w:r>
      <w:rPr>
        <w:rStyle w:val="Seitenzahl"/>
        <w:rFonts w:ascii="Lato" w:hAnsi="Lato" w:cs="Arial"/>
        <w:b/>
        <w:sz w:val="16"/>
        <w:szCs w:val="16"/>
      </w:rPr>
      <w:tab/>
    </w:r>
  </w:p>
  <w:p w14:paraId="63914640" w14:textId="77777777" w:rsidR="000F096B" w:rsidRDefault="00CE70C1">
    <w:pPr>
      <w:pStyle w:val="Fuzeile"/>
      <w:rPr>
        <w:rStyle w:val="Seitenzahl"/>
        <w:rFonts w:ascii="Lato" w:hAnsi="Lato" w:cs="Arial"/>
        <w:bCs/>
        <w:sz w:val="16"/>
        <w:szCs w:val="16"/>
      </w:rPr>
    </w:pPr>
    <w:r>
      <w:rPr>
        <w:rStyle w:val="Seitenzahl"/>
        <w:rFonts w:ascii="Lato" w:hAnsi="Lato" w:cs="Arial"/>
        <w:bCs/>
        <w:sz w:val="16"/>
        <w:szCs w:val="16"/>
      </w:rPr>
      <w:t>Dunja Geisler</w:t>
    </w:r>
    <w:r>
      <w:rPr>
        <w:rStyle w:val="Seitenzahl"/>
        <w:rFonts w:ascii="Lato" w:hAnsi="Lato" w:cs="Arial"/>
        <w:bCs/>
        <w:sz w:val="16"/>
        <w:szCs w:val="16"/>
      </w:rPr>
      <w:tab/>
    </w:r>
    <w:r>
      <w:rPr>
        <w:rStyle w:val="Seitenzahl"/>
        <w:rFonts w:ascii="Lato" w:hAnsi="Lato" w:cs="Arial"/>
        <w:bCs/>
        <w:sz w:val="16"/>
        <w:szCs w:val="16"/>
      </w:rPr>
      <w:tab/>
      <w:t>Tel. 0711 1645-703</w:t>
    </w:r>
  </w:p>
  <w:p w14:paraId="5740FDBC" w14:textId="77777777" w:rsidR="000F096B" w:rsidRDefault="00CE70C1">
    <w:pPr>
      <w:pStyle w:val="Fuzeile"/>
      <w:rPr>
        <w:rStyle w:val="Seitenzahl"/>
        <w:rFonts w:ascii="Lato" w:hAnsi="Lato" w:cs="Arial"/>
        <w:bCs/>
        <w:sz w:val="16"/>
        <w:szCs w:val="16"/>
      </w:rPr>
    </w:pPr>
    <w:r>
      <w:rPr>
        <w:rStyle w:val="Seitenzahl"/>
        <w:rFonts w:ascii="Lato" w:hAnsi="Lato" w:cs="Arial"/>
        <w:bCs/>
        <w:sz w:val="16"/>
        <w:szCs w:val="16"/>
      </w:rPr>
      <w:t>Bürgschaftsbank Baden-Württemberg GmbH</w:t>
    </w:r>
    <w:r>
      <w:rPr>
        <w:rStyle w:val="Seitenzahl"/>
        <w:rFonts w:ascii="Lato" w:hAnsi="Lato" w:cs="Arial"/>
        <w:bCs/>
        <w:sz w:val="16"/>
        <w:szCs w:val="16"/>
      </w:rPr>
      <w:tab/>
    </w:r>
    <w:r>
      <w:rPr>
        <w:rStyle w:val="Seitenzahl"/>
        <w:rFonts w:ascii="Lato" w:hAnsi="Lato" w:cs="Arial"/>
        <w:bCs/>
        <w:sz w:val="16"/>
        <w:szCs w:val="16"/>
      </w:rPr>
      <w:tab/>
      <w:t>Fax 0711 1645 -87703</w:t>
    </w:r>
  </w:p>
  <w:p w14:paraId="7352F221" w14:textId="77777777" w:rsidR="000F096B" w:rsidRDefault="00CE70C1">
    <w:pPr>
      <w:pStyle w:val="Fuzeile"/>
      <w:rPr>
        <w:rStyle w:val="Seitenzahl"/>
        <w:rFonts w:ascii="Lato" w:hAnsi="Lato" w:cs="Arial"/>
        <w:bCs/>
        <w:sz w:val="16"/>
        <w:szCs w:val="16"/>
      </w:rPr>
    </w:pPr>
    <w:r>
      <w:rPr>
        <w:rStyle w:val="Seitenzahl"/>
        <w:rFonts w:ascii="Lato" w:hAnsi="Lato" w:cs="Arial"/>
        <w:bCs/>
        <w:sz w:val="16"/>
        <w:szCs w:val="16"/>
      </w:rPr>
      <w:t>Werastr. 13-17</w:t>
    </w:r>
    <w:r>
      <w:rPr>
        <w:rStyle w:val="Seitenzahl"/>
        <w:rFonts w:ascii="Lato" w:hAnsi="Lato" w:cs="Arial"/>
        <w:bCs/>
        <w:sz w:val="16"/>
        <w:szCs w:val="16"/>
      </w:rPr>
      <w:tab/>
    </w:r>
    <w:r>
      <w:rPr>
        <w:rStyle w:val="Seitenzahl"/>
        <w:rFonts w:ascii="Lato" w:hAnsi="Lato" w:cs="Arial"/>
        <w:bCs/>
        <w:sz w:val="16"/>
        <w:szCs w:val="16"/>
      </w:rPr>
      <w:tab/>
      <w:t>dunja.geisler@buergschaftsbank.de</w:t>
    </w:r>
  </w:p>
  <w:p w14:paraId="501FDE37" w14:textId="77777777" w:rsidR="000F096B" w:rsidRDefault="00CE70C1">
    <w:pPr>
      <w:pStyle w:val="Fuzeile"/>
      <w:rPr>
        <w:rStyle w:val="Seitenzahl"/>
        <w:bCs/>
      </w:rPr>
    </w:pPr>
    <w:r>
      <w:rPr>
        <w:rStyle w:val="Seitenzahl"/>
        <w:rFonts w:ascii="Lato" w:hAnsi="Lato" w:cs="Arial"/>
        <w:bCs/>
        <w:sz w:val="16"/>
        <w:szCs w:val="16"/>
      </w:rPr>
      <w:t>70182 Stuttgart</w:t>
    </w:r>
    <w:r>
      <w:rPr>
        <w:rStyle w:val="Seitenzahl"/>
        <w:rFonts w:ascii="Lato" w:hAnsi="Lato" w:cs="Arial"/>
        <w:bCs/>
        <w:sz w:val="16"/>
        <w:szCs w:val="16"/>
      </w:rPr>
      <w:tab/>
    </w:r>
    <w:r>
      <w:rPr>
        <w:rStyle w:val="Seitenzahl"/>
        <w:rFonts w:ascii="Lato" w:hAnsi="Lato" w:cs="Arial"/>
        <w:bCs/>
        <w:sz w:val="16"/>
        <w:szCs w:val="16"/>
      </w:rPr>
      <w:tab/>
      <w:t>www.buergschaftsbank.de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FC2FF" w14:textId="77777777" w:rsidR="005E5FBE" w:rsidRDefault="005E5FBE">
      <w:r>
        <w:separator/>
      </w:r>
    </w:p>
  </w:footnote>
  <w:footnote w:type="continuationSeparator" w:id="0">
    <w:p w14:paraId="77E04B65" w14:textId="77777777" w:rsidR="005E5FBE" w:rsidRDefault="005E5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39834" w14:textId="77777777" w:rsidR="000F096B" w:rsidRDefault="00CE70C1">
    <w:pPr>
      <w:pStyle w:val="Kopfzeile"/>
      <w:tabs>
        <w:tab w:val="clear" w:pos="4536"/>
        <w:tab w:val="clear" w:pos="9072"/>
        <w:tab w:val="center" w:pos="4820"/>
        <w:tab w:val="right" w:pos="9639"/>
      </w:tabs>
      <w:ind w:right="-1134"/>
    </w:pPr>
    <w:r>
      <w:rPr>
        <w:noProof/>
      </w:rPr>
      <w:drawing>
        <wp:inline distT="0" distB="0" distL="0" distR="0" wp14:anchorId="48CF19F6" wp14:editId="4C23E0D0">
          <wp:extent cx="1219200" cy="568960"/>
          <wp:effectExtent l="0" t="0" r="0" b="2540"/>
          <wp:docPr id="9" name="Bild 1" descr="Logo_BB_lb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B_lb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68960"/>
                  </a:xfrm>
                  <a:prstGeom prst="rect">
                    <a:avLst/>
                  </a:prstGeom>
                  <a:noFill/>
                  <a:ln>
                    <a:noFill/>
                  </a:ln>
                </pic:spPr>
              </pic:pic>
            </a:graphicData>
          </a:graphic>
        </wp:inline>
      </w:drawing>
    </w:r>
  </w:p>
  <w:p w14:paraId="3032BD90" w14:textId="77777777" w:rsidR="000F096B" w:rsidRDefault="000F096B">
    <w:pPr>
      <w:pStyle w:val="Kopfzeile"/>
      <w:tabs>
        <w:tab w:val="clear" w:pos="4536"/>
      </w:tabs>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8142C"/>
    <w:multiLevelType w:val="singleLevel"/>
    <w:tmpl w:val="160ABE2C"/>
    <w:lvl w:ilvl="0">
      <w:start w:val="1"/>
      <w:numFmt w:val="decimal"/>
      <w:lvlText w:val="%1."/>
      <w:lvlJc w:val="left"/>
      <w:pPr>
        <w:tabs>
          <w:tab w:val="num" w:pos="705"/>
        </w:tabs>
        <w:ind w:left="705" w:hanging="705"/>
      </w:pPr>
      <w:rPr>
        <w:rFonts w:hint="default"/>
      </w:rPr>
    </w:lvl>
  </w:abstractNum>
  <w:abstractNum w:abstractNumId="1" w15:restartNumberingAfterBreak="0">
    <w:nsid w:val="0E1B5435"/>
    <w:multiLevelType w:val="hybridMultilevel"/>
    <w:tmpl w:val="D9D662EC"/>
    <w:lvl w:ilvl="0" w:tplc="3BDCB6EA">
      <w:start w:val="3"/>
      <w:numFmt w:val="bullet"/>
      <w:lvlText w:val="-"/>
      <w:lvlJc w:val="left"/>
      <w:pPr>
        <w:tabs>
          <w:tab w:val="num" w:pos="360"/>
        </w:tabs>
        <w:ind w:left="360" w:hanging="360"/>
      </w:pPr>
      <w:rPr>
        <w:rFonts w:ascii="Arial" w:eastAsia="Times New Roman" w:hAnsi="Arial" w:cs="Aria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F627AD6"/>
    <w:multiLevelType w:val="hybridMultilevel"/>
    <w:tmpl w:val="623E622E"/>
    <w:lvl w:ilvl="0" w:tplc="E0D4B06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BD044D"/>
    <w:multiLevelType w:val="hybridMultilevel"/>
    <w:tmpl w:val="4FEA4D96"/>
    <w:lvl w:ilvl="0" w:tplc="0407000F">
      <w:start w:val="1"/>
      <w:numFmt w:val="decimal"/>
      <w:lvlText w:val="%1."/>
      <w:lvlJc w:val="left"/>
      <w:pPr>
        <w:tabs>
          <w:tab w:val="num" w:pos="720"/>
        </w:tabs>
        <w:ind w:left="720" w:hanging="360"/>
      </w:pPr>
    </w:lvl>
    <w:lvl w:ilvl="1" w:tplc="9A72902E">
      <w:start w:val="1"/>
      <w:numFmt w:val="bullet"/>
      <w:lvlText w:val=""/>
      <w:lvlJc w:val="left"/>
      <w:pPr>
        <w:tabs>
          <w:tab w:val="num" w:pos="1250"/>
        </w:tabs>
        <w:ind w:left="1250" w:hanging="17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2048530507">
    <w:abstractNumId w:val="0"/>
  </w:num>
  <w:num w:numId="2" w16cid:durableId="396780390">
    <w:abstractNumId w:val="2"/>
  </w:num>
  <w:num w:numId="3" w16cid:durableId="994843794">
    <w:abstractNumId w:val="3"/>
  </w:num>
  <w:num w:numId="4" w16cid:durableId="1545410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FBE"/>
    <w:rsid w:val="00066921"/>
    <w:rsid w:val="000F096B"/>
    <w:rsid w:val="002F4402"/>
    <w:rsid w:val="00301BDA"/>
    <w:rsid w:val="003C027A"/>
    <w:rsid w:val="005E5FBE"/>
    <w:rsid w:val="0069210F"/>
    <w:rsid w:val="00743A0D"/>
    <w:rsid w:val="00797941"/>
    <w:rsid w:val="007B2D1D"/>
    <w:rsid w:val="007B5838"/>
    <w:rsid w:val="00950526"/>
    <w:rsid w:val="00972250"/>
    <w:rsid w:val="00AC0C1B"/>
    <w:rsid w:val="00B207E1"/>
    <w:rsid w:val="00B729A2"/>
    <w:rsid w:val="00CE70C1"/>
    <w:rsid w:val="00D434B9"/>
    <w:rsid w:val="00E46858"/>
    <w:rsid w:val="00EB33D1"/>
    <w:rsid w:val="00FB32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1C36B"/>
  <w15:docId w15:val="{F650B09D-4B41-4AB5-8E81-BF657296E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ind w:right="5670"/>
      <w:outlineLvl w:val="1"/>
    </w:pPr>
    <w:rPr>
      <w:sz w:val="24"/>
    </w:rPr>
  </w:style>
  <w:style w:type="paragraph" w:styleId="berschrift3">
    <w:name w:val="heading 3"/>
    <w:basedOn w:val="Standard"/>
    <w:next w:val="Standard"/>
    <w:qFormat/>
    <w:pPr>
      <w:keepNext/>
      <w:outlineLvl w:val="2"/>
    </w:pPr>
    <w:rPr>
      <w:rFonts w:ascii="Arial" w:hAnsi="Arial"/>
      <w:b/>
      <w:sz w:val="24"/>
    </w:rPr>
  </w:style>
  <w:style w:type="paragraph" w:styleId="berschrift4">
    <w:name w:val="heading 4"/>
    <w:basedOn w:val="Standard"/>
    <w:next w:val="Standard"/>
    <w:qFormat/>
    <w:pPr>
      <w:keepNext/>
      <w:outlineLvl w:val="3"/>
    </w:pPr>
    <w:rPr>
      <w:rFonts w:ascii="Arial" w:hAnsi="Arial" w:cs="Arial"/>
      <w:b/>
      <w:bCs/>
      <w:sz w:val="22"/>
    </w:rPr>
  </w:style>
  <w:style w:type="paragraph" w:styleId="berschrift5">
    <w:name w:val="heading 5"/>
    <w:basedOn w:val="Standard"/>
    <w:next w:val="Standard"/>
    <w:qFormat/>
    <w:pPr>
      <w:keepNext/>
      <w:autoSpaceDE w:val="0"/>
      <w:autoSpaceDN w:val="0"/>
      <w:adjustRightInd w:val="0"/>
      <w:spacing w:line="360" w:lineRule="auto"/>
      <w:jc w:val="both"/>
      <w:outlineLvl w:val="4"/>
    </w:pPr>
    <w:rPr>
      <w:rFonts w:ascii="Arial" w:hAnsi="Arial" w:cs="Arial"/>
      <w:b/>
      <w:bCs/>
      <w:color w:val="333333"/>
    </w:rPr>
  </w:style>
  <w:style w:type="paragraph" w:styleId="berschrift6">
    <w:name w:val="heading 6"/>
    <w:basedOn w:val="Standard"/>
    <w:next w:val="Standard"/>
    <w:qFormat/>
    <w:pPr>
      <w:keepNext/>
      <w:outlineLvl w:val="5"/>
    </w:pPr>
    <w:rPr>
      <w:rFonts w:ascii="Arial" w:hAnsi="Arial"/>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ind w:right="5670"/>
    </w:pPr>
    <w:rPr>
      <w:rFonts w:ascii="Arial" w:hAnsi="Arial"/>
      <w:sz w:val="24"/>
    </w:rPr>
  </w:style>
  <w:style w:type="paragraph" w:styleId="Textkrper2">
    <w:name w:val="Body Text 2"/>
    <w:basedOn w:val="Standard"/>
    <w:pPr>
      <w:ind w:right="4820"/>
    </w:pPr>
    <w:rPr>
      <w:rFonts w:ascii="Arial" w:hAnsi="Arial"/>
      <w:sz w:val="22"/>
    </w:rPr>
  </w:style>
  <w:style w:type="paragraph" w:styleId="Textkrper3">
    <w:name w:val="Body Text 3"/>
    <w:basedOn w:val="Standard"/>
    <w:pPr>
      <w:ind w:right="4253"/>
    </w:pPr>
    <w:rPr>
      <w:rFonts w:ascii="Arial" w:hAnsi="Arial"/>
      <w:sz w:val="22"/>
    </w:rPr>
  </w:style>
  <w:style w:type="character" w:styleId="Zeilennummer">
    <w:name w:val="line number"/>
    <w:basedOn w:val="Absatz-Standardschriftart"/>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character" w:styleId="BesuchterLink">
    <w:name w:val="FollowedHyperlink"/>
    <w:rPr>
      <w:color w:val="800080"/>
      <w:u w:val="single"/>
    </w:rPr>
  </w:style>
  <w:style w:type="paragraph" w:styleId="Kopfzeile">
    <w:name w:val="header"/>
    <w:basedOn w:val="Standard"/>
    <w:link w:val="KopfzeileZchn"/>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character" w:styleId="Fett">
    <w:name w:val="Strong"/>
    <w:qFormat/>
    <w:rPr>
      <w:b/>
      <w:bCs/>
    </w:rPr>
  </w:style>
  <w:style w:type="paragraph" w:customStyle="1" w:styleId="Neutral">
    <w:name w:val="Neutral"/>
    <w:basedOn w:val="Standard"/>
    <w:pPr>
      <w:widowControl w:val="0"/>
      <w:spacing w:after="240"/>
      <w:ind w:left="1701" w:right="1985"/>
    </w:pPr>
    <w:rPr>
      <w:rFonts w:ascii="Arial" w:hAnsi="Arial"/>
      <w:sz w:val="24"/>
    </w:rPr>
  </w:style>
  <w:style w:type="character" w:styleId="Kommentarzeichen">
    <w:name w:val="annotation reference"/>
    <w:semiHidden/>
    <w:rPr>
      <w:sz w:val="16"/>
      <w:szCs w:val="16"/>
    </w:rPr>
  </w:style>
  <w:style w:type="paragraph" w:styleId="Kommentartext">
    <w:name w:val="annotation text"/>
    <w:basedOn w:val="Standard"/>
    <w:semiHidden/>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3110">
      <w:bodyDiv w:val="1"/>
      <w:marLeft w:val="0"/>
      <w:marRight w:val="0"/>
      <w:marTop w:val="0"/>
      <w:marBottom w:val="0"/>
      <w:divBdr>
        <w:top w:val="none" w:sz="0" w:space="0" w:color="auto"/>
        <w:left w:val="none" w:sz="0" w:space="0" w:color="auto"/>
        <w:bottom w:val="none" w:sz="0" w:space="0" w:color="auto"/>
        <w:right w:val="none" w:sz="0" w:space="0" w:color="auto"/>
      </w:divBdr>
    </w:div>
    <w:div w:id="367729678">
      <w:bodyDiv w:val="1"/>
      <w:marLeft w:val="0"/>
      <w:marRight w:val="0"/>
      <w:marTop w:val="0"/>
      <w:marBottom w:val="0"/>
      <w:divBdr>
        <w:top w:val="none" w:sz="0" w:space="0" w:color="auto"/>
        <w:left w:val="none" w:sz="0" w:space="0" w:color="auto"/>
        <w:bottom w:val="none" w:sz="0" w:space="0" w:color="auto"/>
        <w:right w:val="none" w:sz="0" w:space="0" w:color="auto"/>
      </w:divBdr>
      <w:divsChild>
        <w:div w:id="1185097594">
          <w:marLeft w:val="0"/>
          <w:marRight w:val="0"/>
          <w:marTop w:val="0"/>
          <w:marBottom w:val="0"/>
          <w:divBdr>
            <w:top w:val="none" w:sz="0" w:space="0" w:color="auto"/>
            <w:left w:val="none" w:sz="0" w:space="0" w:color="auto"/>
            <w:bottom w:val="none" w:sz="0" w:space="0" w:color="auto"/>
            <w:right w:val="none" w:sz="0" w:space="0" w:color="auto"/>
          </w:divBdr>
        </w:div>
      </w:divsChild>
    </w:div>
    <w:div w:id="541404220">
      <w:bodyDiv w:val="1"/>
      <w:marLeft w:val="0"/>
      <w:marRight w:val="0"/>
      <w:marTop w:val="0"/>
      <w:marBottom w:val="0"/>
      <w:divBdr>
        <w:top w:val="none" w:sz="0" w:space="0" w:color="auto"/>
        <w:left w:val="none" w:sz="0" w:space="0" w:color="auto"/>
        <w:bottom w:val="none" w:sz="0" w:space="0" w:color="auto"/>
        <w:right w:val="none" w:sz="0" w:space="0" w:color="auto"/>
      </w:divBdr>
    </w:div>
    <w:div w:id="723257020">
      <w:bodyDiv w:val="1"/>
      <w:marLeft w:val="0"/>
      <w:marRight w:val="0"/>
      <w:marTop w:val="0"/>
      <w:marBottom w:val="0"/>
      <w:divBdr>
        <w:top w:val="none" w:sz="0" w:space="0" w:color="auto"/>
        <w:left w:val="none" w:sz="0" w:space="0" w:color="auto"/>
        <w:bottom w:val="none" w:sz="0" w:space="0" w:color="auto"/>
        <w:right w:val="none" w:sz="0" w:space="0" w:color="auto"/>
      </w:divBdr>
    </w:div>
    <w:div w:id="1187132028">
      <w:bodyDiv w:val="1"/>
      <w:marLeft w:val="0"/>
      <w:marRight w:val="0"/>
      <w:marTop w:val="0"/>
      <w:marBottom w:val="0"/>
      <w:divBdr>
        <w:top w:val="none" w:sz="0" w:space="0" w:color="auto"/>
        <w:left w:val="none" w:sz="0" w:space="0" w:color="auto"/>
        <w:bottom w:val="none" w:sz="0" w:space="0" w:color="auto"/>
        <w:right w:val="none" w:sz="0" w:space="0" w:color="auto"/>
      </w:divBdr>
    </w:div>
    <w:div w:id="1429425824">
      <w:bodyDiv w:val="1"/>
      <w:marLeft w:val="0"/>
      <w:marRight w:val="0"/>
      <w:marTop w:val="0"/>
      <w:marBottom w:val="0"/>
      <w:divBdr>
        <w:top w:val="none" w:sz="0" w:space="0" w:color="auto"/>
        <w:left w:val="none" w:sz="0" w:space="0" w:color="auto"/>
        <w:bottom w:val="none" w:sz="0" w:space="0" w:color="auto"/>
        <w:right w:val="none" w:sz="0" w:space="0" w:color="auto"/>
      </w:divBdr>
      <w:divsChild>
        <w:div w:id="1575313547">
          <w:marLeft w:val="0"/>
          <w:marRight w:val="0"/>
          <w:marTop w:val="0"/>
          <w:marBottom w:val="0"/>
          <w:divBdr>
            <w:top w:val="none" w:sz="0" w:space="0" w:color="auto"/>
            <w:left w:val="none" w:sz="0" w:space="0" w:color="auto"/>
            <w:bottom w:val="none" w:sz="0" w:space="0" w:color="auto"/>
            <w:right w:val="none" w:sz="0" w:space="0" w:color="auto"/>
          </w:divBdr>
        </w:div>
      </w:divsChild>
    </w:div>
    <w:div w:id="177289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ergschaftsbank.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Vorstand\Sekretariat\Kreditsekr\Presse&amp;&#214;ffentlichkeit\Pressemitteilungen\Vorlagen\PM_Vorlage_BB.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2E3C6-9B13-4C97-8BF7-0A1FB9397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PM_Vorlage_BB.dotx</Template>
  <TotalTime>0</TotalTime>
  <Pages>2</Pages>
  <Words>471</Words>
  <Characters>2972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Bürgschaftsbank B-W</Company>
  <LinksUpToDate>false</LinksUpToDate>
  <CharactersWithSpaces>3437</CharactersWithSpaces>
  <SharedDoc>false</SharedDoc>
  <HLinks>
    <vt:vector size="12" baseType="variant">
      <vt:variant>
        <vt:i4>6946937</vt:i4>
      </vt:variant>
      <vt:variant>
        <vt:i4>3</vt:i4>
      </vt:variant>
      <vt:variant>
        <vt:i4>0</vt:i4>
      </vt:variant>
      <vt:variant>
        <vt:i4>5</vt:i4>
      </vt:variant>
      <vt:variant>
        <vt:lpwstr>http://www.mbg.de/</vt:lpwstr>
      </vt:variant>
      <vt:variant>
        <vt:lpwstr/>
      </vt:variant>
      <vt:variant>
        <vt:i4>7995447</vt:i4>
      </vt:variant>
      <vt:variant>
        <vt:i4>0</vt:i4>
      </vt:variant>
      <vt:variant>
        <vt:i4>0</vt:i4>
      </vt:variant>
      <vt:variant>
        <vt:i4>5</vt:i4>
      </vt:variant>
      <vt:variant>
        <vt:lpwstr>http://www.buergschaftsbank.de/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Jungbeck, Vanessa</dc:creator>
  <cp:lastModifiedBy>Braunmiller, Elisabeth</cp:lastModifiedBy>
  <cp:revision>3</cp:revision>
  <cp:lastPrinted>2022-08-18T07:10:00Z</cp:lastPrinted>
  <dcterms:created xsi:type="dcterms:W3CDTF">2025-07-24T08:17:00Z</dcterms:created>
  <dcterms:modified xsi:type="dcterms:W3CDTF">2025-07-24T08:39:00Z</dcterms:modified>
</cp:coreProperties>
</file>